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59726754"/>
      <w:r w:rsidRPr="00A95FE7">
        <w:lastRenderedPageBreak/>
        <w:t>Obsah</w:t>
      </w:r>
      <w:bookmarkEnd w:id="0"/>
      <w:bookmarkEnd w:id="1"/>
    </w:p>
    <w:p w:rsidR="003A5B83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59726754" w:history="1">
        <w:r w:rsidR="003A5B83" w:rsidRPr="004B7C01">
          <w:rPr>
            <w:rStyle w:val="Hypertextovodkaz"/>
            <w:noProof/>
          </w:rPr>
          <w:t>Obsah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_Toc459726754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2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59726755" w:history="1">
        <w:r w:rsidR="003A5B83" w:rsidRPr="004B7C01">
          <w:rPr>
            <w:rStyle w:val="Hypertextovodkaz"/>
            <w:noProof/>
          </w:rPr>
          <w:t>A.1</w:t>
        </w:r>
        <w:r w:rsidR="003A5B8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3A5B83" w:rsidRPr="004B7C01">
          <w:rPr>
            <w:rStyle w:val="Hypertextovodkaz"/>
            <w:noProof/>
          </w:rPr>
          <w:t>SEZNAM KMENOVÝCH UČEBEN: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_Toc459726755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56" w:history="1">
        <w:r w:rsidR="003A5B83" w:rsidRPr="004B7C01">
          <w:rPr>
            <w:rStyle w:val="Hypertextovodkaz"/>
            <w:rFonts w:ascii="Symbol" w:hAnsi="Symbol"/>
            <w:noProof/>
          </w:rPr>
          <w:t></w:t>
        </w:r>
        <w:r w:rsidR="003A5B8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A5B83" w:rsidRPr="004B7C01">
          <w:rPr>
            <w:rStyle w:val="Hypertextovodkaz"/>
            <w:noProof/>
          </w:rPr>
          <w:t>OBJEKT A – SO 01 – CELKEM 2 UČEBNY V 1.NP ( POLOHA VIZ PŘÍLOHA VZT)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_Toc459726756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57" w:history="1">
        <w:r w:rsidR="003A5B83" w:rsidRPr="004B7C01">
          <w:rPr>
            <w:rStyle w:val="Hypertextovodkaz"/>
            <w:rFonts w:ascii="Symbol" w:hAnsi="Symbol"/>
            <w:noProof/>
          </w:rPr>
          <w:t></w:t>
        </w:r>
        <w:r w:rsidR="003A5B8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A5B83" w:rsidRPr="004B7C01">
          <w:rPr>
            <w:rStyle w:val="Hypertextovodkaz"/>
            <w:noProof/>
          </w:rPr>
          <w:t>OBJEKT C – SO 03 – CELKEM 7 UČEBEN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_Toc459726757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58" w:history="1">
        <w:r w:rsidR="003A5B83" w:rsidRPr="004B7C01">
          <w:rPr>
            <w:rStyle w:val="Hypertextovodkaz"/>
            <w:noProof/>
          </w:rPr>
          <w:t>1.NP – 2 UČEBNY ( POLOHA VIZ PŘÍLOHA VZT)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_Toc459726758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59" w:history="1">
        <w:r w:rsidR="003A5B83" w:rsidRPr="004B7C01">
          <w:rPr>
            <w:rStyle w:val="Hypertextovodkaz"/>
            <w:noProof/>
          </w:rPr>
          <w:t>2.NP – 4 UČEBNY ( POLOHA VIZ PŘÍLOHA VZT)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_Toc459726759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60" w:history="1">
        <w:r w:rsidR="003A5B83" w:rsidRPr="004B7C01">
          <w:rPr>
            <w:rStyle w:val="Hypertextovodkaz"/>
            <w:noProof/>
          </w:rPr>
          <w:t>3.NP – 1 UČEBNA ( POLOHA VIZ PŘÍLOHA VZT)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_Toc459726760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59726761" w:history="1">
        <w:r w:rsidR="003A5B83" w:rsidRPr="004B7C01">
          <w:rPr>
            <w:rStyle w:val="Hypertextovodkaz"/>
            <w:rFonts w:ascii="Symbol" w:hAnsi="Symbol"/>
            <w:noProof/>
          </w:rPr>
          <w:t></w:t>
        </w:r>
        <w:r w:rsidR="003A5B8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3A5B83" w:rsidRPr="004B7C01">
          <w:rPr>
            <w:rStyle w:val="Hypertextovodkaz"/>
            <w:noProof/>
          </w:rPr>
          <w:t>OBJEKT E – SO 05 – CELKEM 2 UČEBNA ( POLOHA VIZ PŘÍLOHA VZT)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_Toc459726761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3A5B83" w:rsidRDefault="007C151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59726762" w:history="1">
        <w:r w:rsidR="003A5B83" w:rsidRPr="004B7C01">
          <w:rPr>
            <w:rStyle w:val="Hypertextovodkaz"/>
            <w:noProof/>
          </w:rPr>
          <w:t>A.2</w:t>
        </w:r>
        <w:r w:rsidR="003A5B8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3A5B83" w:rsidRPr="004B7C01">
          <w:rPr>
            <w:rStyle w:val="Hypertextovodkaz"/>
            <w:noProof/>
          </w:rPr>
          <w:t>SPECIFIKACE KMENOVÝCH UČEBEN:</w:t>
        </w:r>
        <w:r w:rsidR="003A5B83">
          <w:rPr>
            <w:noProof/>
            <w:webHidden/>
          </w:rPr>
          <w:tab/>
        </w:r>
        <w:r w:rsidR="003A5B83">
          <w:rPr>
            <w:noProof/>
            <w:webHidden/>
          </w:rPr>
          <w:fldChar w:fldCharType="begin"/>
        </w:r>
        <w:r w:rsidR="003A5B83">
          <w:rPr>
            <w:noProof/>
            <w:webHidden/>
          </w:rPr>
          <w:instrText xml:space="preserve"> PAGEREF _Toc459726762 \h </w:instrText>
        </w:r>
        <w:r w:rsidR="003A5B83">
          <w:rPr>
            <w:noProof/>
            <w:webHidden/>
          </w:rPr>
        </w:r>
        <w:r w:rsidR="003A5B83">
          <w:rPr>
            <w:noProof/>
            <w:webHidden/>
          </w:rPr>
          <w:fldChar w:fldCharType="separate"/>
        </w:r>
        <w:r w:rsidR="00432EB4">
          <w:rPr>
            <w:noProof/>
            <w:webHidden/>
          </w:rPr>
          <w:t>3</w:t>
        </w:r>
        <w:r w:rsidR="003A5B83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D12B69" w:rsidRDefault="00B562BF" w:rsidP="00D12B69">
      <w:pPr>
        <w:pStyle w:val="Nadpis1"/>
        <w:ind w:left="1211" w:hanging="1211"/>
        <w:jc w:val="left"/>
      </w:pPr>
      <w:bookmarkStart w:id="3" w:name="_Toc459726755"/>
      <w:bookmarkEnd w:id="2"/>
      <w:r>
        <w:lastRenderedPageBreak/>
        <w:t>SEZNAM KMENOVÝCH UČEBEN:</w:t>
      </w:r>
      <w:bookmarkEnd w:id="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4" w:name="_Toc459726756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4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5" w:name="_Toc459726757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5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" w:name="_Toc459726758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7" w:name="_Toc459726759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7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8" w:name="_Toc459726760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8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9" w:name="_Toc459726761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9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Pr="003A5B83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B562BF" w:rsidRPr="00B562BF" w:rsidRDefault="00B562BF" w:rsidP="00015986">
      <w:pPr>
        <w:pStyle w:val="Nadpis3"/>
        <w:numPr>
          <w:ilvl w:val="0"/>
          <w:numId w:val="0"/>
        </w:numPr>
        <w:ind w:left="788"/>
      </w:pPr>
    </w:p>
    <w:p w:rsidR="00B562BF" w:rsidRDefault="00B562BF" w:rsidP="00015986">
      <w:pPr>
        <w:pStyle w:val="Nadpis1"/>
        <w:ind w:left="1211" w:hanging="1211"/>
        <w:jc w:val="left"/>
      </w:pPr>
      <w:r>
        <w:t xml:space="preserve"> </w:t>
      </w:r>
      <w:bookmarkStart w:id="10" w:name="_Toc459726762"/>
      <w:r w:rsidR="00015986">
        <w:t>SPECIFIKACE KMENOVÝCH UČEBEN:</w:t>
      </w:r>
      <w:bookmarkEnd w:id="10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</w:t>
      </w:r>
      <w:r w:rsidR="009A2AEC">
        <w:t xml:space="preserve"> (VIZ PŘÍLOHA)</w:t>
      </w:r>
      <w:r w:rsidR="003A5B83">
        <w:t>.</w:t>
      </w:r>
    </w:p>
    <w:p w:rsidR="003A5B83" w:rsidRDefault="00A57F73" w:rsidP="00A57F73">
      <w:pPr>
        <w:pStyle w:val="Nadpis1"/>
        <w:ind w:left="1211" w:hanging="1211"/>
        <w:jc w:val="left"/>
      </w:pPr>
      <w:r>
        <w:t xml:space="preserve">POŽADOVANÉ HODNOTY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 xml:space="preserve">Tabulka </w:t>
      </w:r>
      <w:proofErr w:type="gramStart"/>
      <w:r>
        <w:t>č.6</w:t>
      </w:r>
      <w:r w:rsidR="00A57F73" w:rsidRPr="00A57F73">
        <w:t xml:space="preserve"> Požadované</w:t>
      </w:r>
      <w:proofErr w:type="gramEnd"/>
      <w:r w:rsidR="00A57F73" w:rsidRPr="00A57F73">
        <w:t xml:space="preserve"> hodnoty činitele denní osvětlenosti pro třídy zrakové činnosti u člověka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A57F73" w:rsidRDefault="00A57F73" w:rsidP="00015986"/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166FF" w:rsidRDefault="002166FF" w:rsidP="00015986">
      <w:pPr>
        <w:rPr>
          <w:u w:val="single"/>
        </w:rPr>
      </w:pPr>
    </w:p>
    <w:p w:rsidR="002166FF" w:rsidRDefault="002166FF" w:rsidP="00015986">
      <w:pPr>
        <w:rPr>
          <w:u w:val="single"/>
        </w:rPr>
      </w:pPr>
      <w:r>
        <w:rPr>
          <w:u w:val="single"/>
        </w:rPr>
        <w:t>DOPLNĚNÍ</w:t>
      </w:r>
    </w:p>
    <w:p w:rsidR="002166FF" w:rsidRPr="00FF1ECC" w:rsidRDefault="002166FF" w:rsidP="002166FF">
      <w:r w:rsidRPr="00FF1ECC">
        <w:rPr>
          <w:b/>
          <w:bCs/>
        </w:rPr>
        <w:t xml:space="preserve">Provozní režim: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Pr="007C151D" w:rsidRDefault="001834B3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</w:pPr>
      <w:r w:rsidRPr="001834B3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Vzhledem ke skutečno</w:t>
      </w:r>
      <w:r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sti, že </w:t>
      </w:r>
      <w:r w:rsidRPr="001834B3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výp</w:t>
      </w:r>
      <w:r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očet denního osvětlení pro kmenové učebny dle jednotlivých příloh mapuje prostorovou situaci učeben, s tím, že dochází i k situaci,</w:t>
      </w:r>
      <w:r w:rsid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 že v</w:t>
      </w:r>
      <w:r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 částech učeben směrem ke dveřím klesá hladina </w:t>
      </w:r>
      <w:proofErr w:type="spellStart"/>
      <w:r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souč</w:t>
      </w:r>
      <w:proofErr w:type="spellEnd"/>
      <w:r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. denního</w:t>
      </w:r>
      <w:r w:rsidR="004B1EB7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 osvětlení pod normovou hodnotu. To znamená, </w:t>
      </w:r>
      <w:r w:rsidR="004B1EB7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kde nebude denní osvětlení </w:t>
      </w:r>
      <w:r w:rsidR="007C151D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v této části </w:t>
      </w:r>
      <w:r w:rsidR="004B1EB7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vyhovovat</w:t>
      </w:r>
      <w:r w:rsidR="007C151D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,</w:t>
      </w:r>
      <w:r w:rsidR="004B1EB7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 pracovní místa žáků </w:t>
      </w:r>
      <w:r w:rsidR="007C151D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 xml:space="preserve">zde </w:t>
      </w:r>
      <w:r w:rsidR="004B1EB7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nebudou</w:t>
      </w:r>
      <w:r w:rsidR="004B1EB7" w:rsidRPr="007C151D">
        <w:rPr>
          <w:rFonts w:ascii="Arial Narrow" w:eastAsia="Times New Roman" w:hAnsi="Arial Narrow"/>
          <w:color w:val="auto"/>
          <w:sz w:val="22"/>
          <w:szCs w:val="20"/>
          <w:highlight w:val="green"/>
          <w:lang w:eastAsia="cs-CZ"/>
        </w:rPr>
        <w:t>.</w:t>
      </w:r>
    </w:p>
    <w:p w:rsidR="00FF1ECC" w:rsidRDefault="00FF1ECC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bookmarkStart w:id="11" w:name="_GoBack"/>
      <w:bookmarkEnd w:id="11"/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0"/>
          <w:lang w:eastAsia="cs-CZ"/>
        </w:rPr>
        <w:t>Poloha a seznam učeben je patrný z přiložených příloh:</w:t>
      </w: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>OBJEKT A – SO 01 – CELKEM 2 UČEBNY V 1.NP (POLOHA VIZ PŘÍLOHA VZT)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 xml:space="preserve">OBJEKT C – SO 03 – CELKEM 7 UČEBEN 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>1.NP – 2 UČEBNY (POLOHA VIZ PŘÍLOHA VZT)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>2.NP – 4 UČEBNY (POLOHA VIZ PŘÍLOHA VZT)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>3.NP – 1 UČEBNA (POLOHA VIZ PŘÍLOHA VZT)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 xml:space="preserve">OBJEKT E – SO 05 – CELKEM 2 UČEBNY – 2NP (POLOHA VIZ PŘÍLOHA VZT) </w:t>
      </w: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  <w:r w:rsidRPr="004B03F2">
        <w:rPr>
          <w:rFonts w:ascii="Arial Narrow" w:eastAsia="Times New Roman" w:hAnsi="Arial Narrow"/>
          <w:color w:val="auto"/>
          <w:sz w:val="22"/>
          <w:szCs w:val="20"/>
          <w:lang w:eastAsia="cs-CZ"/>
        </w:rPr>
        <w:t>CELKEM 11 UČEBEN</w:t>
      </w: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4B03F2">
        <w:t>říjen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32EB4">
            <w:rPr>
              <w:rFonts w:ascii="Arial Narrow" w:hAnsi="Arial Narrow"/>
              <w:noProof/>
              <w:color w:val="808080"/>
              <w:sz w:val="18"/>
              <w:szCs w:val="18"/>
            </w:rPr>
            <w:t>DOLNENI_ HYGIENA_SEZNAM_SPECIFIKACE_08_2016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B1EB7">
            <w:rPr>
              <w:rFonts w:ascii="Arial Narrow" w:hAnsi="Arial Narrow"/>
              <w:noProof/>
              <w:color w:val="808080"/>
              <w:sz w:val="18"/>
              <w:szCs w:val="18"/>
            </w:rPr>
            <w:t>14.10.2016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C151D">
            <w:rPr>
              <w:rFonts w:ascii="Arial Narrow" w:hAnsi="Arial Narrow"/>
              <w:noProof/>
              <w:color w:val="808080"/>
              <w:sz w:val="18"/>
              <w:szCs w:val="18"/>
            </w:rPr>
            <w:t>4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C151D">
            <w:rPr>
              <w:rFonts w:ascii="Arial Narrow" w:hAnsi="Arial Narrow"/>
              <w:noProof/>
              <w:color w:val="808080"/>
              <w:sz w:val="18"/>
              <w:szCs w:val="18"/>
            </w:rPr>
            <w:t>4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80278"/>
    <w:rsid w:val="000B68B6"/>
    <w:rsid w:val="00116E04"/>
    <w:rsid w:val="00161223"/>
    <w:rsid w:val="00161B4B"/>
    <w:rsid w:val="00175D78"/>
    <w:rsid w:val="001834B3"/>
    <w:rsid w:val="001E6C32"/>
    <w:rsid w:val="00202339"/>
    <w:rsid w:val="00202E14"/>
    <w:rsid w:val="002166FF"/>
    <w:rsid w:val="002261A3"/>
    <w:rsid w:val="00227C70"/>
    <w:rsid w:val="00232E28"/>
    <w:rsid w:val="00295BD2"/>
    <w:rsid w:val="002A58AC"/>
    <w:rsid w:val="002D2F60"/>
    <w:rsid w:val="002E7313"/>
    <w:rsid w:val="00301CF2"/>
    <w:rsid w:val="003A5B83"/>
    <w:rsid w:val="003D7627"/>
    <w:rsid w:val="003E4327"/>
    <w:rsid w:val="00423521"/>
    <w:rsid w:val="00432EB4"/>
    <w:rsid w:val="00447CF8"/>
    <w:rsid w:val="0046723E"/>
    <w:rsid w:val="0047165C"/>
    <w:rsid w:val="004B03F2"/>
    <w:rsid w:val="004B1EB7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3B90"/>
    <w:rsid w:val="006552FB"/>
    <w:rsid w:val="006618C3"/>
    <w:rsid w:val="00670451"/>
    <w:rsid w:val="006C5ECB"/>
    <w:rsid w:val="00732963"/>
    <w:rsid w:val="007366F8"/>
    <w:rsid w:val="0075220C"/>
    <w:rsid w:val="007756EC"/>
    <w:rsid w:val="007930D5"/>
    <w:rsid w:val="007C151D"/>
    <w:rsid w:val="007D1A1B"/>
    <w:rsid w:val="007F54D6"/>
    <w:rsid w:val="0085410C"/>
    <w:rsid w:val="008A1552"/>
    <w:rsid w:val="008A4546"/>
    <w:rsid w:val="008B0960"/>
    <w:rsid w:val="008C4261"/>
    <w:rsid w:val="008E395D"/>
    <w:rsid w:val="008F618B"/>
    <w:rsid w:val="009121E6"/>
    <w:rsid w:val="0092354C"/>
    <w:rsid w:val="00956CEF"/>
    <w:rsid w:val="0099340E"/>
    <w:rsid w:val="009A2AEC"/>
    <w:rsid w:val="00A547E0"/>
    <w:rsid w:val="00A57F73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562BF"/>
    <w:rsid w:val="00C0227D"/>
    <w:rsid w:val="00C12996"/>
    <w:rsid w:val="00C43545"/>
    <w:rsid w:val="00C62AC5"/>
    <w:rsid w:val="00C63794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3E4C"/>
    <w:rsid w:val="00FC06A6"/>
    <w:rsid w:val="00FC36B7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F699E-8DBA-4C94-89BF-CE2148DF7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701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18</cp:revision>
  <cp:lastPrinted>2016-09-06T10:27:00Z</cp:lastPrinted>
  <dcterms:created xsi:type="dcterms:W3CDTF">2016-08-23T09:47:00Z</dcterms:created>
  <dcterms:modified xsi:type="dcterms:W3CDTF">2016-10-14T11:52:00Z</dcterms:modified>
</cp:coreProperties>
</file>